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5B292" w14:textId="54A466B4" w:rsidR="0027185A" w:rsidRDefault="00245CC7" w:rsidP="00245CC7">
      <w:pPr>
        <w:pStyle w:val="Heading1"/>
        <w:spacing w:before="0"/>
        <w:ind w:left="340"/>
        <w:rPr>
          <w:b/>
          <w:sz w:val="48"/>
        </w:rPr>
      </w:pPr>
      <w:bookmarkStart w:id="0" w:name="_GoBack"/>
      <w:bookmarkEnd w:id="0"/>
      <w:r w:rsidRPr="00245CC7">
        <w:rPr>
          <w:b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3B971A82" wp14:editId="2EE0BE86">
            <wp:simplePos x="0" y="0"/>
            <wp:positionH relativeFrom="column">
              <wp:posOffset>4913630</wp:posOffset>
            </wp:positionH>
            <wp:positionV relativeFrom="paragraph">
              <wp:posOffset>-701040</wp:posOffset>
            </wp:positionV>
            <wp:extent cx="2232000" cy="223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CC7">
        <w:rPr>
          <w:b/>
          <w:sz w:val="48"/>
        </w:rPr>
        <w:t xml:space="preserve">HENRY ROYCE </w:t>
      </w:r>
      <w:r w:rsidR="005C7BD6">
        <w:rPr>
          <w:b/>
          <w:sz w:val="48"/>
        </w:rPr>
        <w:t>INSTITUTE</w:t>
      </w:r>
    </w:p>
    <w:p w14:paraId="6AC23877" w14:textId="03720FB4" w:rsidR="00245CC7" w:rsidRPr="00245CC7" w:rsidRDefault="002A7198" w:rsidP="00245CC7">
      <w:pPr>
        <w:pStyle w:val="Heading1"/>
        <w:spacing w:before="0"/>
        <w:ind w:left="340"/>
        <w:rPr>
          <w:b/>
          <w:sz w:val="48"/>
        </w:rPr>
      </w:pPr>
      <w:r>
        <w:rPr>
          <w:b/>
          <w:sz w:val="48"/>
        </w:rPr>
        <w:t>PhD S</w:t>
      </w:r>
      <w:r w:rsidR="0027185A">
        <w:rPr>
          <w:b/>
          <w:sz w:val="48"/>
        </w:rPr>
        <w:t>TUDENT ACCESS SCHEME</w:t>
      </w:r>
    </w:p>
    <w:p w14:paraId="37FD1CCD" w14:textId="673F7DEF" w:rsidR="00245CC7" w:rsidRPr="0027185A" w:rsidRDefault="002A7198" w:rsidP="00245CC7">
      <w:pPr>
        <w:pStyle w:val="Heading1"/>
        <w:spacing w:before="0"/>
        <w:ind w:left="340"/>
        <w:rPr>
          <w:b/>
          <w:color w:val="FF0000"/>
          <w:sz w:val="40"/>
        </w:rPr>
      </w:pPr>
      <w:r>
        <w:rPr>
          <w:b/>
          <w:color w:val="FF0000"/>
          <w:sz w:val="40"/>
        </w:rPr>
        <w:t>GUIDANCE NOTES</w:t>
      </w:r>
      <w:r w:rsidR="00171486">
        <w:rPr>
          <w:b/>
          <w:color w:val="FF0000"/>
          <w:sz w:val="40"/>
        </w:rPr>
        <w:t xml:space="preserve"> FOR APPLICANTS</w:t>
      </w:r>
      <w:r w:rsidR="00BB5303">
        <w:rPr>
          <w:b/>
          <w:color w:val="FF0000"/>
          <w:sz w:val="40"/>
        </w:rPr>
        <w:t xml:space="preserve"> </w:t>
      </w:r>
      <w:r w:rsidR="00BB5303" w:rsidRPr="00BB5303">
        <w:rPr>
          <w:b/>
          <w:color w:val="FF0000"/>
          <w:sz w:val="24"/>
        </w:rPr>
        <w:t>(rev 3.</w:t>
      </w:r>
      <w:r w:rsidR="00642F79">
        <w:rPr>
          <w:b/>
          <w:color w:val="FF0000"/>
          <w:sz w:val="24"/>
        </w:rPr>
        <w:t>1</w:t>
      </w:r>
      <w:r w:rsidR="00BB5303" w:rsidRPr="00BB5303">
        <w:rPr>
          <w:b/>
          <w:color w:val="FF0000"/>
          <w:sz w:val="24"/>
        </w:rPr>
        <w:t>)</w:t>
      </w:r>
    </w:p>
    <w:p w14:paraId="0446A9B6" w14:textId="77777777" w:rsidR="00245CC7" w:rsidRDefault="00245CC7" w:rsidP="00245CC7">
      <w:pPr>
        <w:ind w:left="340"/>
      </w:pPr>
    </w:p>
    <w:p w14:paraId="29409260" w14:textId="26E5C55B" w:rsidR="00BE27C5" w:rsidRDefault="000B3389" w:rsidP="00DD62ED">
      <w:pPr>
        <w:rPr>
          <w:b/>
          <w:u w:val="single"/>
        </w:rPr>
      </w:pPr>
      <w:r>
        <w:rPr>
          <w:b/>
          <w:u w:val="single"/>
        </w:rPr>
        <w:t xml:space="preserve">SCHEME </w:t>
      </w:r>
      <w:r w:rsidR="00BE27C5" w:rsidRPr="00BE27C5">
        <w:rPr>
          <w:b/>
          <w:u w:val="single"/>
        </w:rPr>
        <w:t>GUIDANCE NOTES</w:t>
      </w:r>
    </w:p>
    <w:p w14:paraId="2F6399CD" w14:textId="5D39A138" w:rsidR="00BE27C5" w:rsidRDefault="00BE27C5" w:rsidP="002A7198">
      <w:pPr>
        <w:pStyle w:val="ListParagraph"/>
        <w:numPr>
          <w:ilvl w:val="0"/>
          <w:numId w:val="3"/>
        </w:numPr>
        <w:rPr>
          <w:b/>
          <w:u w:val="single"/>
        </w:rPr>
      </w:pPr>
      <w:r w:rsidRPr="002A7198">
        <w:rPr>
          <w:b/>
          <w:u w:val="single"/>
        </w:rPr>
        <w:t>Scope of Scheme</w:t>
      </w:r>
    </w:p>
    <w:p w14:paraId="0FF38AEB" w14:textId="77777777" w:rsidR="00CE186A" w:rsidRPr="00CE186A" w:rsidRDefault="00CE186A" w:rsidP="00CE186A">
      <w:pPr>
        <w:spacing w:after="0"/>
        <w:ind w:left="360"/>
        <w:rPr>
          <w:b/>
          <w:sz w:val="6"/>
        </w:rPr>
      </w:pPr>
    </w:p>
    <w:p w14:paraId="24FA81DE" w14:textId="6071FC93" w:rsidR="002A7198" w:rsidRPr="00F74403" w:rsidRDefault="002A7198" w:rsidP="00CD2ED8">
      <w:pPr>
        <w:pStyle w:val="ListParagraph"/>
        <w:numPr>
          <w:ilvl w:val="1"/>
          <w:numId w:val="4"/>
        </w:numPr>
        <w:spacing w:after="0"/>
        <w:ind w:left="374" w:hanging="374"/>
        <w:rPr>
          <w:b/>
        </w:rPr>
      </w:pPr>
      <w:r w:rsidRPr="00F74403">
        <w:rPr>
          <w:b/>
        </w:rPr>
        <w:t>Purpose</w:t>
      </w:r>
    </w:p>
    <w:p w14:paraId="30DE4A06" w14:textId="2D798961" w:rsidR="000320A0" w:rsidRDefault="00BE27C5" w:rsidP="002A7198">
      <w:r>
        <w:t>The Scheme is intended to support PhD</w:t>
      </w:r>
      <w:r w:rsidR="0085604C">
        <w:t>/</w:t>
      </w:r>
      <w:r w:rsidR="002A7198">
        <w:t>DPhil/</w:t>
      </w:r>
      <w:r w:rsidR="0085604C">
        <w:t>EngD</w:t>
      </w:r>
      <w:r>
        <w:t xml:space="preserve"> students in their research by enabling them to access </w:t>
      </w:r>
      <w:r w:rsidR="00B7533D">
        <w:t>the</w:t>
      </w:r>
      <w:r w:rsidR="00933794">
        <w:t xml:space="preserve"> </w:t>
      </w:r>
      <w:r w:rsidR="009C74BD">
        <w:t xml:space="preserve">capability to make, test and characterise materials, components and systems </w:t>
      </w:r>
      <w:r w:rsidR="007C2A1A">
        <w:t>using</w:t>
      </w:r>
      <w:r w:rsidR="009C74BD">
        <w:t xml:space="preserve"> </w:t>
      </w:r>
      <w:r w:rsidR="007C2A1A">
        <w:t xml:space="preserve">facilities of the </w:t>
      </w:r>
      <w:r w:rsidR="009C74BD">
        <w:t>Henry Royce Institute</w:t>
      </w:r>
      <w:r w:rsidR="00933794">
        <w:t xml:space="preserve"> which </w:t>
      </w:r>
      <w:r w:rsidR="007C2A1A">
        <w:t>are</w:t>
      </w:r>
      <w:r w:rsidR="00933794">
        <w:t xml:space="preserve"> not otherwise available through their own institution</w:t>
      </w:r>
      <w:r w:rsidR="007C2A1A">
        <w:t>s</w:t>
      </w:r>
      <w:r w:rsidR="00933794">
        <w:t xml:space="preserve">. </w:t>
      </w:r>
      <w:r w:rsidR="00B7533D">
        <w:t xml:space="preserve"> </w:t>
      </w:r>
    </w:p>
    <w:p w14:paraId="165F56EA" w14:textId="5A12616F" w:rsidR="00BE27C5" w:rsidRDefault="00BE27C5" w:rsidP="00BE27C5">
      <w:r>
        <w:t>It is assumed students will have local arrangements for accessing equipment at their own universities</w:t>
      </w:r>
      <w:r w:rsidR="007810EC">
        <w:t xml:space="preserve">, whether or not these are </w:t>
      </w:r>
      <w:r>
        <w:t>Royce Partner</w:t>
      </w:r>
      <w:r w:rsidR="007810EC">
        <w:t xml:space="preserve"> HEIs</w:t>
      </w:r>
      <w:r>
        <w:t xml:space="preserve"> (see </w:t>
      </w:r>
      <w:r w:rsidR="0085604C" w:rsidRPr="0085604C">
        <w:rPr>
          <w:b/>
        </w:rPr>
        <w:t>“Definitions”</w:t>
      </w:r>
      <w:r>
        <w:t>)</w:t>
      </w:r>
      <w:r w:rsidR="00B7533D">
        <w:t>,</w:t>
      </w:r>
      <w:r>
        <w:t xml:space="preserve"> and whether or not the equipment in question is Royce equipment. Therefore applications </w:t>
      </w:r>
      <w:r w:rsidRPr="00C1355A">
        <w:rPr>
          <w:b/>
        </w:rPr>
        <w:t>must</w:t>
      </w:r>
      <w:r>
        <w:t xml:space="preserve"> be to use equipment at a Royce Facility which is </w:t>
      </w:r>
      <w:r w:rsidRPr="00C1355A">
        <w:rPr>
          <w:b/>
        </w:rPr>
        <w:t>NOT</w:t>
      </w:r>
      <w:r>
        <w:t xml:space="preserve"> </w:t>
      </w:r>
      <w:r w:rsidR="0085604C">
        <w:t xml:space="preserve">at </w:t>
      </w:r>
      <w:r>
        <w:t>the university where the student is registered.</w:t>
      </w:r>
    </w:p>
    <w:p w14:paraId="4BF6D6AD" w14:textId="6ADDB4BD" w:rsidR="002A7198" w:rsidRDefault="00B7533D" w:rsidP="002A7198">
      <w:r>
        <w:t>The intention is to support well-defined single packages of work, not extended arrangements over long periods</w:t>
      </w:r>
      <w:r w:rsidR="00C1355A">
        <w:t>,</w:t>
      </w:r>
      <w:r>
        <w:t xml:space="preserve"> </w:t>
      </w:r>
      <w:r w:rsidR="00C1355A">
        <w:t xml:space="preserve">so for </w:t>
      </w:r>
      <w:r w:rsidR="002E249C">
        <w:t>example</w:t>
      </w:r>
      <w:r>
        <w:t xml:space="preserve"> not open-ended arrangements for the whole of a PhD. However multiple applications can be made to support more than one package of work within an individual student’s PhD.</w:t>
      </w:r>
    </w:p>
    <w:p w14:paraId="566BB61D" w14:textId="004797DE" w:rsidR="00021319" w:rsidRDefault="00021319" w:rsidP="002A7198">
      <w:r>
        <w:t>The Access Scheme can also fund any relevant training required in order to understand or operate the equipment accessed.</w:t>
      </w:r>
      <w:r w:rsidR="0077629A">
        <w:t xml:space="preserve"> Any required training should be indicated in the proposal and included in the overall work package costings.</w:t>
      </w:r>
    </w:p>
    <w:p w14:paraId="50A678EF" w14:textId="6F528034" w:rsidR="005376E5" w:rsidRPr="00F74403" w:rsidRDefault="005376E5" w:rsidP="00BB5303">
      <w:pPr>
        <w:pStyle w:val="ListParagraph"/>
        <w:numPr>
          <w:ilvl w:val="1"/>
          <w:numId w:val="4"/>
        </w:numPr>
        <w:spacing w:after="0"/>
        <w:ind w:left="374" w:hanging="374"/>
        <w:rPr>
          <w:b/>
        </w:rPr>
      </w:pPr>
      <w:r w:rsidRPr="00F74403">
        <w:rPr>
          <w:b/>
        </w:rPr>
        <w:t>Deadlines</w:t>
      </w:r>
    </w:p>
    <w:p w14:paraId="4B0D4ACB" w14:textId="16904CE6" w:rsidR="005376E5" w:rsidRDefault="009F3CD1" w:rsidP="005376E5">
      <w:r>
        <w:t xml:space="preserve">There is no formal deadline for applications, however the Scheme has a finite budget and we therefore reserve the right to close the Scheme </w:t>
      </w:r>
      <w:r w:rsidR="00C35804">
        <w:t xml:space="preserve">to new applications </w:t>
      </w:r>
      <w:r>
        <w:t>at short notice</w:t>
      </w:r>
      <w:r w:rsidR="00CD2ED8">
        <w:t>.</w:t>
      </w:r>
    </w:p>
    <w:p w14:paraId="3AF1F1C4" w14:textId="3319ECEF" w:rsidR="002A7198" w:rsidRPr="00F74403" w:rsidRDefault="002A7198" w:rsidP="00CD2ED8">
      <w:pPr>
        <w:pStyle w:val="ListParagraph"/>
        <w:numPr>
          <w:ilvl w:val="1"/>
          <w:numId w:val="4"/>
        </w:numPr>
        <w:spacing w:after="0"/>
        <w:ind w:left="374" w:hanging="374"/>
        <w:rPr>
          <w:b/>
        </w:rPr>
      </w:pPr>
      <w:r w:rsidRPr="00F74403">
        <w:rPr>
          <w:b/>
        </w:rPr>
        <w:t>Student Eligibility</w:t>
      </w:r>
    </w:p>
    <w:p w14:paraId="04A353DC" w14:textId="75A10AEA" w:rsidR="002A7198" w:rsidRDefault="00F74403" w:rsidP="002A7198">
      <w:r>
        <w:t>The Scheme is open to a</w:t>
      </w:r>
      <w:r w:rsidRPr="003C6AAF">
        <w:t xml:space="preserve">ny </w:t>
      </w:r>
      <w:r w:rsidR="002A7198" w:rsidRPr="003C6AAF">
        <w:t xml:space="preserve">student registered on a doctoral programme </w:t>
      </w:r>
      <w:r w:rsidR="003C6AAF" w:rsidRPr="003C6AAF">
        <w:t xml:space="preserve">at a UK university. </w:t>
      </w:r>
      <w:r w:rsidR="003C6AAF">
        <w:t xml:space="preserve">Note eligibility </w:t>
      </w:r>
      <w:r w:rsidR="003C6AAF" w:rsidRPr="003C6AAF">
        <w:t xml:space="preserve">is </w:t>
      </w:r>
      <w:r w:rsidR="003C6AAF" w:rsidRPr="003C6AAF">
        <w:rPr>
          <w:b/>
        </w:rPr>
        <w:t>not</w:t>
      </w:r>
      <w:r w:rsidR="003C6AAF" w:rsidRPr="003C6AAF">
        <w:t xml:space="preserve"> limited to students</w:t>
      </w:r>
      <w:r w:rsidR="003C6AAF">
        <w:t xml:space="preserve"> studying in a Centre for Doctoral Training (CDT).</w:t>
      </w:r>
    </w:p>
    <w:p w14:paraId="016DEF87" w14:textId="1C08D8F0" w:rsidR="00052D4F" w:rsidRDefault="00052D4F" w:rsidP="00BB5303">
      <w:pPr>
        <w:pStyle w:val="ListParagraph"/>
        <w:numPr>
          <w:ilvl w:val="0"/>
          <w:numId w:val="8"/>
        </w:numPr>
        <w:spacing w:after="0"/>
        <w:ind w:left="357" w:hanging="357"/>
        <w:rPr>
          <w:b/>
        </w:rPr>
      </w:pPr>
      <w:r w:rsidRPr="00052D4F">
        <w:rPr>
          <w:b/>
        </w:rPr>
        <w:t xml:space="preserve">Eligibility of </w:t>
      </w:r>
      <w:r w:rsidR="00806311">
        <w:rPr>
          <w:b/>
        </w:rPr>
        <w:t xml:space="preserve">enquiry </w:t>
      </w:r>
      <w:r w:rsidRPr="00052D4F">
        <w:rPr>
          <w:b/>
        </w:rPr>
        <w:t>topics</w:t>
      </w:r>
    </w:p>
    <w:p w14:paraId="07368813" w14:textId="1A844B37" w:rsidR="00052D4F" w:rsidRDefault="00052D4F" w:rsidP="00052D4F">
      <w:r>
        <w:t>In order to be eligible for support through</w:t>
      </w:r>
      <w:r w:rsidR="007A624B">
        <w:t xml:space="preserve"> this</w:t>
      </w:r>
      <w:r>
        <w:t xml:space="preserve"> Scheme, the research enquiry or problem for which the student wishes to use the Royce Equipment or Service </w:t>
      </w:r>
      <w:r w:rsidRPr="00BB5303">
        <w:rPr>
          <w:b/>
        </w:rPr>
        <w:t>must meet one or more of the following criteria</w:t>
      </w:r>
      <w:r>
        <w:t>:</w:t>
      </w:r>
    </w:p>
    <w:p w14:paraId="737F9813" w14:textId="14C660CE" w:rsidR="00052D4F" w:rsidRDefault="007A624B" w:rsidP="00BB5303">
      <w:pPr>
        <w:pStyle w:val="ListParagraph"/>
        <w:numPr>
          <w:ilvl w:val="0"/>
          <w:numId w:val="9"/>
        </w:numPr>
      </w:pPr>
      <w:r>
        <w:t>It relate</w:t>
      </w:r>
      <w:r w:rsidR="00806311">
        <w:t>s</w:t>
      </w:r>
      <w:r>
        <w:t xml:space="preserve"> to</w:t>
      </w:r>
      <w:r w:rsidR="00052D4F">
        <w:t>, or include</w:t>
      </w:r>
      <w:r w:rsidR="00806311">
        <w:t>s</w:t>
      </w:r>
      <w:r w:rsidR="00052D4F">
        <w:t xml:space="preserve">, </w:t>
      </w:r>
      <w:r w:rsidR="00BB5303">
        <w:t xml:space="preserve">the </w:t>
      </w:r>
      <w:r w:rsidR="00052D4F">
        <w:t>develop</w:t>
      </w:r>
      <w:r w:rsidR="00BB5303">
        <w:t>ment of</w:t>
      </w:r>
      <w:r w:rsidR="00052D4F">
        <w:t xml:space="preserve"> new materials</w:t>
      </w:r>
      <w:r>
        <w:t>, systems</w:t>
      </w:r>
      <w:r w:rsidR="00052D4F">
        <w:t xml:space="preserve"> or processes</w:t>
      </w:r>
      <w:r>
        <w:t>,</w:t>
      </w:r>
      <w:r w:rsidR="00052D4F">
        <w:t xml:space="preserve"> or our understanding of them </w:t>
      </w:r>
    </w:p>
    <w:p w14:paraId="73102123" w14:textId="38D8BECE" w:rsidR="00052D4F" w:rsidRDefault="007A624B" w:rsidP="00BB5303">
      <w:pPr>
        <w:pStyle w:val="ListParagraph"/>
        <w:numPr>
          <w:ilvl w:val="0"/>
          <w:numId w:val="9"/>
        </w:numPr>
      </w:pPr>
      <w:r>
        <w:t>It relate</w:t>
      </w:r>
      <w:r w:rsidR="00806311">
        <w:t>s</w:t>
      </w:r>
      <w:r>
        <w:t xml:space="preserve"> to</w:t>
      </w:r>
      <w:r w:rsidR="00052D4F">
        <w:t>, or include</w:t>
      </w:r>
      <w:r w:rsidR="00806311">
        <w:t>s</w:t>
      </w:r>
      <w:r w:rsidR="00052D4F">
        <w:t xml:space="preserve">, </w:t>
      </w:r>
      <w:r>
        <w:t xml:space="preserve">improving our </w:t>
      </w:r>
      <w:r w:rsidR="00052D4F">
        <w:t xml:space="preserve">understanding of </w:t>
      </w:r>
      <w:r>
        <w:t xml:space="preserve">the performance or failure of </w:t>
      </w:r>
      <w:r w:rsidR="00052D4F">
        <w:t>materials</w:t>
      </w:r>
      <w:r>
        <w:t xml:space="preserve"> or material</w:t>
      </w:r>
      <w:r w:rsidR="00BB5303">
        <w:t>s</w:t>
      </w:r>
      <w:r>
        <w:t xml:space="preserve"> systems</w:t>
      </w:r>
    </w:p>
    <w:p w14:paraId="6BD25A32" w14:textId="3C5D5819" w:rsidR="007A624B" w:rsidRDefault="007A624B" w:rsidP="00BB5303">
      <w:pPr>
        <w:pStyle w:val="ListParagraph"/>
        <w:numPr>
          <w:ilvl w:val="0"/>
          <w:numId w:val="9"/>
        </w:numPr>
      </w:pPr>
      <w:r>
        <w:t xml:space="preserve">Where the core topic of the PhD is not itself fundamentally materials based, there is a materials issue which is impacting the study in some way </w:t>
      </w:r>
      <w:r w:rsidR="00DF4CE3">
        <w:t>(</w:t>
      </w:r>
      <w:r w:rsidR="00642F79">
        <w:t>example</w:t>
      </w:r>
      <w:r w:rsidR="00DF4CE3">
        <w:t>s might include:</w:t>
      </w:r>
      <w:r>
        <w:t xml:space="preserve"> a problem or issue with the experimental set up or materials of construction of a</w:t>
      </w:r>
      <w:r w:rsidR="00DF4CE3">
        <w:t>n experimental</w:t>
      </w:r>
      <w:r>
        <w:t xml:space="preserve"> rig</w:t>
      </w:r>
      <w:r w:rsidR="00642F79">
        <w:t>; a need to characterise a heterogeneous catalyst or support</w:t>
      </w:r>
      <w:r>
        <w:t xml:space="preserve"> etc.)</w:t>
      </w:r>
    </w:p>
    <w:p w14:paraId="4F1FF51B" w14:textId="4D97A8BE" w:rsidR="007A624B" w:rsidRDefault="007A624B" w:rsidP="00BB5303">
      <w:pPr>
        <w:pStyle w:val="ListParagraph"/>
        <w:numPr>
          <w:ilvl w:val="0"/>
          <w:numId w:val="9"/>
        </w:numPr>
      </w:pPr>
      <w:r>
        <w:t>The topic or enquiry allows method development which would widen the scope of the Royce’s capabilities</w:t>
      </w:r>
    </w:p>
    <w:p w14:paraId="4E31576A" w14:textId="0B1462A6" w:rsidR="007A624B" w:rsidRDefault="007A624B" w:rsidP="00BB5303">
      <w:pPr>
        <w:pStyle w:val="ListParagraph"/>
        <w:numPr>
          <w:ilvl w:val="0"/>
          <w:numId w:val="9"/>
        </w:numPr>
        <w:spacing w:after="0"/>
        <w:ind w:left="714" w:hanging="357"/>
      </w:pPr>
      <w:r>
        <w:t xml:space="preserve">It aligns with or connects to any of the </w:t>
      </w:r>
      <w:hyperlink r:id="rId9" w:history="1">
        <w:r w:rsidRPr="00724CCF">
          <w:rPr>
            <w:rStyle w:val="Hyperlink"/>
          </w:rPr>
          <w:t>Royce Core Research Areas</w:t>
        </w:r>
      </w:hyperlink>
      <w:r>
        <w:t>.</w:t>
      </w:r>
    </w:p>
    <w:p w14:paraId="28191F65" w14:textId="7FEF9D24" w:rsidR="00DF4CE3" w:rsidRDefault="00DF4CE3" w:rsidP="00DF4CE3">
      <w:pPr>
        <w:spacing w:after="0"/>
        <w:ind w:left="357"/>
      </w:pPr>
    </w:p>
    <w:p w14:paraId="266C6212" w14:textId="77777777" w:rsidR="00DF4CE3" w:rsidRDefault="00DF4CE3" w:rsidP="00DF4CE3">
      <w:pPr>
        <w:spacing w:after="0"/>
        <w:ind w:left="357"/>
      </w:pPr>
    </w:p>
    <w:p w14:paraId="7E45ACCD" w14:textId="6EFB074B" w:rsidR="007A624B" w:rsidRPr="00052D4F" w:rsidRDefault="007A624B" w:rsidP="00BB5303">
      <w:pPr>
        <w:spacing w:after="0"/>
      </w:pPr>
    </w:p>
    <w:p w14:paraId="0A4550C5" w14:textId="5CD35969" w:rsidR="002A7198" w:rsidRPr="00F74403" w:rsidRDefault="002A7198" w:rsidP="00CD2ED8">
      <w:pPr>
        <w:pStyle w:val="ListParagraph"/>
        <w:numPr>
          <w:ilvl w:val="1"/>
          <w:numId w:val="4"/>
        </w:numPr>
        <w:spacing w:after="0"/>
        <w:ind w:left="374" w:hanging="374"/>
        <w:rPr>
          <w:b/>
        </w:rPr>
      </w:pPr>
      <w:r w:rsidRPr="00F74403">
        <w:rPr>
          <w:b/>
        </w:rPr>
        <w:t>Funding limits and eligible costs</w:t>
      </w:r>
    </w:p>
    <w:p w14:paraId="27FB4E28" w14:textId="746A5CC7" w:rsidR="00E45848" w:rsidRDefault="005C5A72" w:rsidP="00BE27C5">
      <w:pPr>
        <w:rPr>
          <w:highlight w:val="yellow"/>
        </w:rPr>
      </w:pPr>
      <w:r>
        <w:lastRenderedPageBreak/>
        <w:t>T</w:t>
      </w:r>
      <w:r w:rsidR="00E45848">
        <w:t>here is no funding cap</w:t>
      </w:r>
      <w:r w:rsidR="00DF4CE3">
        <w:t xml:space="preserve"> on individual applications</w:t>
      </w:r>
      <w:r w:rsidR="00E45848">
        <w:t>. However there is a fixed budget available for the scheme</w:t>
      </w:r>
      <w:r w:rsidR="00CD2ED8">
        <w:t xml:space="preserve"> overall</w:t>
      </w:r>
      <w:r w:rsidR="00E45848">
        <w:t xml:space="preserve">. In order to benefit the </w:t>
      </w:r>
      <w:r w:rsidR="000320A0">
        <w:t xml:space="preserve">maximum </w:t>
      </w:r>
      <w:r w:rsidR="00E45848">
        <w:t xml:space="preserve">number of students, applications in excess of £5k </w:t>
      </w:r>
      <w:r>
        <w:t>will be closely scrutinised</w:t>
      </w:r>
      <w:r w:rsidR="00E45848">
        <w:t>.</w:t>
      </w:r>
    </w:p>
    <w:p w14:paraId="14BB602D" w14:textId="48A3C208" w:rsidR="003C6AAF" w:rsidRDefault="006E7557" w:rsidP="00BE27C5">
      <w:r w:rsidRPr="00650116">
        <w:rPr>
          <w:b/>
        </w:rPr>
        <w:t>Eligible costs</w:t>
      </w:r>
      <w:r w:rsidRPr="00CF222A">
        <w:t xml:space="preserve"> are</w:t>
      </w:r>
      <w:r w:rsidR="00290DCC" w:rsidRPr="00CF222A">
        <w:t>:</w:t>
      </w:r>
      <w:r w:rsidRPr="00CF222A">
        <w:t xml:space="preserve"> the cost of equipment use, operator time, sample preparation at the facility, training costs </w:t>
      </w:r>
      <w:r w:rsidR="00CF222A" w:rsidRPr="00CF222A">
        <w:t>for</w:t>
      </w:r>
      <w:r w:rsidRPr="00CF222A">
        <w:t xml:space="preserve"> the student (where it has been agreed that the work package includes a training element for the student)</w:t>
      </w:r>
      <w:r w:rsidR="00E45848" w:rsidRPr="00CF222A">
        <w:t>.</w:t>
      </w:r>
      <w:r w:rsidR="00CF222A" w:rsidRPr="00CF222A">
        <w:t xml:space="preserve"> Note that t</w:t>
      </w:r>
      <w:r w:rsidRPr="00CF222A">
        <w:t xml:space="preserve">ravel and subsistence costs </w:t>
      </w:r>
      <w:r w:rsidRPr="00CF222A">
        <w:rPr>
          <w:b/>
        </w:rPr>
        <w:t>are not</w:t>
      </w:r>
      <w:r w:rsidRPr="00CF222A">
        <w:t xml:space="preserve"> eligible.</w:t>
      </w:r>
      <w:r w:rsidR="005C5A72">
        <w:t xml:space="preserve"> </w:t>
      </w:r>
    </w:p>
    <w:p w14:paraId="2217E466" w14:textId="77777777" w:rsidR="00DF4CE3" w:rsidRPr="00DF4CE3" w:rsidRDefault="009F3CD1" w:rsidP="00DF4CE3">
      <w:pPr>
        <w:pStyle w:val="ListParagraph"/>
        <w:numPr>
          <w:ilvl w:val="0"/>
          <w:numId w:val="8"/>
        </w:numPr>
      </w:pPr>
      <w:r w:rsidRPr="00DF4CE3">
        <w:rPr>
          <w:b/>
        </w:rPr>
        <w:t>Eligible equipment</w:t>
      </w:r>
    </w:p>
    <w:p w14:paraId="1714F13F" w14:textId="1F271A6A" w:rsidR="00B7533D" w:rsidRDefault="00DF4CE3" w:rsidP="00DF4CE3">
      <w:r>
        <w:t>T</w:t>
      </w:r>
      <w:r w:rsidR="005C5A72">
        <w:t xml:space="preserve">o be eligible under the scheme an item of equipment or service must be listed </w:t>
      </w:r>
      <w:r w:rsidR="009F3CD1">
        <w:t>i</w:t>
      </w:r>
      <w:r w:rsidR="005C5A72">
        <w:t xml:space="preserve">n the </w:t>
      </w:r>
      <w:hyperlink r:id="rId10" w:history="1">
        <w:r w:rsidR="005C5A72" w:rsidRPr="009F3CD1">
          <w:rPr>
            <w:rStyle w:val="Hyperlink"/>
          </w:rPr>
          <w:t xml:space="preserve">Henry Royce Institute </w:t>
        </w:r>
        <w:r w:rsidR="009F3CD1" w:rsidRPr="009F3CD1">
          <w:rPr>
            <w:rStyle w:val="Hyperlink"/>
          </w:rPr>
          <w:t>equipment catalogue</w:t>
        </w:r>
      </w:hyperlink>
      <w:r w:rsidR="009F3CD1">
        <w:t xml:space="preserve"> </w:t>
      </w:r>
      <w:r w:rsidR="005C5A72">
        <w:t>website.</w:t>
      </w:r>
    </w:p>
    <w:p w14:paraId="1688BAC7" w14:textId="42D2214A" w:rsidR="00B7533D" w:rsidRDefault="0085604C" w:rsidP="00BE27C5">
      <w:r>
        <w:t>Individual work packages may require the use of more than one item of equipment (e.g. where sample preparation is followed by use of a characterisation or measurement technique, or where more than one characterisation technique is required).</w:t>
      </w:r>
      <w:r w:rsidR="002E249C">
        <w:t xml:space="preserve"> Where this is known it can be indicated on the Initial Enquiry Form.</w:t>
      </w:r>
    </w:p>
    <w:p w14:paraId="11AEDF28" w14:textId="4D37EB73" w:rsidR="009256BA" w:rsidRDefault="009256BA" w:rsidP="00CD2ED8">
      <w:pPr>
        <w:spacing w:after="0"/>
      </w:pPr>
    </w:p>
    <w:p w14:paraId="7FA238B5" w14:textId="38A855C0" w:rsidR="002D7235" w:rsidRDefault="00CF222A" w:rsidP="00CE186A">
      <w:pPr>
        <w:pStyle w:val="ListParagraph"/>
        <w:numPr>
          <w:ilvl w:val="0"/>
          <w:numId w:val="4"/>
        </w:numPr>
        <w:spacing w:after="0"/>
        <w:ind w:left="374" w:hanging="374"/>
        <w:rPr>
          <w:b/>
          <w:u w:val="single"/>
        </w:rPr>
      </w:pPr>
      <w:r w:rsidRPr="00CE186A">
        <w:rPr>
          <w:b/>
          <w:u w:val="single"/>
        </w:rPr>
        <w:t xml:space="preserve">Application </w:t>
      </w:r>
      <w:r w:rsidR="009256BA" w:rsidRPr="00CE186A">
        <w:rPr>
          <w:b/>
          <w:u w:val="single"/>
        </w:rPr>
        <w:t>Process</w:t>
      </w:r>
    </w:p>
    <w:p w14:paraId="2CEE7D5E" w14:textId="77777777" w:rsidR="00CE186A" w:rsidRPr="00CE186A" w:rsidRDefault="00CE186A" w:rsidP="00CE186A">
      <w:pPr>
        <w:spacing w:after="0"/>
        <w:rPr>
          <w:b/>
          <w:u w:val="single"/>
        </w:rPr>
      </w:pPr>
    </w:p>
    <w:p w14:paraId="274D656D" w14:textId="1F83C603" w:rsidR="00CF222A" w:rsidRPr="00CD2ED8" w:rsidRDefault="005376E5" w:rsidP="00A00B31">
      <w:pPr>
        <w:pStyle w:val="ListParagraph"/>
        <w:numPr>
          <w:ilvl w:val="0"/>
          <w:numId w:val="2"/>
        </w:numPr>
        <w:rPr>
          <w:b/>
          <w:u w:val="single"/>
        </w:rPr>
      </w:pPr>
      <w:r w:rsidRPr="00CD2ED8">
        <w:rPr>
          <w:b/>
        </w:rPr>
        <w:t>Deadline</w:t>
      </w:r>
      <w:r w:rsidR="009F3CD1">
        <w:rPr>
          <w:b/>
        </w:rPr>
        <w:t>s</w:t>
      </w:r>
      <w:r w:rsidRPr="00CD2ED8">
        <w:rPr>
          <w:b/>
        </w:rPr>
        <w:t xml:space="preserve"> –</w:t>
      </w:r>
      <w:r>
        <w:t xml:space="preserve"> </w:t>
      </w:r>
      <w:r w:rsidR="009F3CD1">
        <w:t xml:space="preserve">see above. </w:t>
      </w:r>
    </w:p>
    <w:p w14:paraId="606F6927" w14:textId="6CB81DE9" w:rsidR="009256BA" w:rsidRDefault="009256BA" w:rsidP="009256BA">
      <w:pPr>
        <w:pStyle w:val="ListParagraph"/>
        <w:numPr>
          <w:ilvl w:val="0"/>
          <w:numId w:val="2"/>
        </w:numPr>
      </w:pPr>
      <w:r>
        <w:t xml:space="preserve">All enquiries must be initiated by completing the </w:t>
      </w:r>
      <w:hyperlink r:id="rId11" w:history="1">
        <w:r w:rsidRPr="005C5A72">
          <w:rPr>
            <w:rStyle w:val="Hyperlink"/>
            <w:b/>
          </w:rPr>
          <w:t>Initial Enquiry Form</w:t>
        </w:r>
      </w:hyperlink>
      <w:r>
        <w:rPr>
          <w:b/>
        </w:rPr>
        <w:t xml:space="preserve"> </w:t>
      </w:r>
      <w:r w:rsidR="00E45848">
        <w:t xml:space="preserve">which can be found on the </w:t>
      </w:r>
      <w:r w:rsidR="005C5A72">
        <w:t xml:space="preserve">Royce website. </w:t>
      </w:r>
      <w:r w:rsidR="00021319">
        <w:t>Students</w:t>
      </w:r>
      <w:r w:rsidR="00CB544E">
        <w:t xml:space="preserve"> may be able to identify the equipment and type of expertise which is required to </w:t>
      </w:r>
      <w:r w:rsidR="00021319">
        <w:t>address</w:t>
      </w:r>
      <w:r w:rsidR="00CB544E">
        <w:t xml:space="preserve"> </w:t>
      </w:r>
      <w:r w:rsidR="00021319">
        <w:t>their</w:t>
      </w:r>
      <w:r w:rsidR="00CB544E">
        <w:t xml:space="preserve"> specific </w:t>
      </w:r>
      <w:r w:rsidR="00021319">
        <w:t>research question</w:t>
      </w:r>
      <w:r w:rsidR="00B86F08">
        <w:t>,</w:t>
      </w:r>
      <w:r w:rsidR="00021319">
        <w:t xml:space="preserve"> or may need to consult with their s</w:t>
      </w:r>
      <w:r w:rsidR="00CB544E">
        <w:t>upervisor</w:t>
      </w:r>
      <w:r w:rsidR="00021319">
        <w:t xml:space="preserve">s </w:t>
      </w:r>
      <w:r w:rsidR="00CB544E">
        <w:t xml:space="preserve">to understand how the Royce can support </w:t>
      </w:r>
      <w:r w:rsidR="00021319">
        <w:t>them</w:t>
      </w:r>
      <w:r w:rsidR="00CB544E">
        <w:t xml:space="preserve">. </w:t>
      </w:r>
      <w:r w:rsidR="00021319">
        <w:t xml:space="preserve">In addition, the Initial Enquiry Form can be used to indicate to Royce </w:t>
      </w:r>
      <w:r w:rsidR="007C0E77">
        <w:t xml:space="preserve">Hub </w:t>
      </w:r>
      <w:r w:rsidR="00021319">
        <w:t>staff the type of problem they are trying to solve or type of experiment they wish to conduct, helping us to find a suitable match.</w:t>
      </w:r>
      <w:r w:rsidR="00021319" w:rsidRPr="00CB544E">
        <w:t xml:space="preserve"> </w:t>
      </w:r>
      <w:r w:rsidR="00CB544E">
        <w:t xml:space="preserve">The </w:t>
      </w:r>
      <w:r w:rsidR="00021319">
        <w:t xml:space="preserve">PhD Equipment </w:t>
      </w:r>
      <w:r w:rsidR="00CB544E">
        <w:t>Access Scheme can also fund any relevant training required in order to understand or operate the equipment accessed</w:t>
      </w:r>
      <w:r w:rsidR="00733DE6">
        <w:t>; training needs should be discussed with the relevant Royce Facility.</w:t>
      </w:r>
    </w:p>
    <w:p w14:paraId="3B41E8E9" w14:textId="3F740C51" w:rsidR="003C6AAF" w:rsidRDefault="009256BA" w:rsidP="003C6AAF">
      <w:pPr>
        <w:pStyle w:val="ListParagraph"/>
        <w:numPr>
          <w:ilvl w:val="0"/>
          <w:numId w:val="2"/>
        </w:numPr>
      </w:pPr>
      <w:r>
        <w:t xml:space="preserve">Once the </w:t>
      </w:r>
      <w:r w:rsidR="00BE1565">
        <w:t xml:space="preserve">completed </w:t>
      </w:r>
      <w:r w:rsidRPr="00BE1565">
        <w:rPr>
          <w:b/>
        </w:rPr>
        <w:t>Initial Enquiry Form</w:t>
      </w:r>
      <w:r>
        <w:t xml:space="preserve"> is </w:t>
      </w:r>
      <w:r w:rsidR="00BE1565">
        <w:t>received</w:t>
      </w:r>
      <w:r>
        <w:t>, the CDT Development Manager will pass the enquiry on</w:t>
      </w:r>
      <w:r w:rsidR="00A0209C" w:rsidRPr="00BE1565">
        <w:t xml:space="preserve"> </w:t>
      </w:r>
      <w:r w:rsidRPr="00BE1565">
        <w:t xml:space="preserve">to the </w:t>
      </w:r>
      <w:r w:rsidR="00BE1565" w:rsidRPr="00AF1582">
        <w:t xml:space="preserve">relevant </w:t>
      </w:r>
      <w:r w:rsidRPr="00AF1582">
        <w:t>Royce Facility</w:t>
      </w:r>
      <w:r w:rsidR="00BE1565" w:rsidRPr="00AF1582">
        <w:t>, who will contact the enquirer to</w:t>
      </w:r>
      <w:r w:rsidRPr="00AF1582">
        <w:t xml:space="preserve"> discuss</w:t>
      </w:r>
      <w:r w:rsidR="00AF1582" w:rsidRPr="00AF1582">
        <w:t xml:space="preserve"> requirements</w:t>
      </w:r>
      <w:r w:rsidRPr="00AF1582">
        <w:t xml:space="preserve"> and (if appropriate)</w:t>
      </w:r>
      <w:r w:rsidR="0077629A">
        <w:t xml:space="preserve"> work with the enquirer to</w:t>
      </w:r>
      <w:r w:rsidRPr="00AF1582">
        <w:t xml:space="preserve"> </w:t>
      </w:r>
      <w:r w:rsidR="00AF1582" w:rsidRPr="00AF1582">
        <w:t xml:space="preserve">develop </w:t>
      </w:r>
      <w:r w:rsidR="00314059">
        <w:t>a</w:t>
      </w:r>
      <w:r w:rsidR="00AF1582" w:rsidRPr="00AF1582">
        <w:t>nd agre</w:t>
      </w:r>
      <w:r w:rsidRPr="00AF1582">
        <w:t>e a costed work package</w:t>
      </w:r>
      <w:r w:rsidR="00AF1582" w:rsidRPr="00AF1582">
        <w:t xml:space="preserve"> (within 10 working days)</w:t>
      </w:r>
      <w:r w:rsidR="00BE1565" w:rsidRPr="00AF1582">
        <w:t>.</w:t>
      </w:r>
      <w:r w:rsidRPr="00AF1582">
        <w:t xml:space="preserve"> It is </w:t>
      </w:r>
      <w:r w:rsidR="00BE1565" w:rsidRPr="00AF1582">
        <w:t xml:space="preserve">then </w:t>
      </w:r>
      <w:r w:rsidRPr="0077629A">
        <w:rPr>
          <w:b/>
        </w:rPr>
        <w:t xml:space="preserve">the responsibility of the student </w:t>
      </w:r>
      <w:r w:rsidRPr="00AF1582">
        <w:t xml:space="preserve">to complete </w:t>
      </w:r>
      <w:r w:rsidR="003C6AAF" w:rsidRPr="00AF1582">
        <w:t>a</w:t>
      </w:r>
      <w:r w:rsidR="00AF1582" w:rsidRPr="00AF1582">
        <w:t>n</w:t>
      </w:r>
      <w:r w:rsidRPr="00AF1582">
        <w:t xml:space="preserve"> </w:t>
      </w:r>
      <w:r w:rsidR="00AF1582" w:rsidRPr="00AF1582">
        <w:rPr>
          <w:b/>
        </w:rPr>
        <w:t xml:space="preserve">Application </w:t>
      </w:r>
      <w:r w:rsidRPr="00AF1582">
        <w:rPr>
          <w:b/>
        </w:rPr>
        <w:t xml:space="preserve">for Funding </w:t>
      </w:r>
      <w:r w:rsidR="003B665B" w:rsidRPr="00AF1582">
        <w:rPr>
          <w:b/>
        </w:rPr>
        <w:t>F</w:t>
      </w:r>
      <w:r w:rsidRPr="00AF1582">
        <w:rPr>
          <w:b/>
        </w:rPr>
        <w:t>orm</w:t>
      </w:r>
      <w:r w:rsidR="00CF222A" w:rsidRPr="00AF1582">
        <w:rPr>
          <w:b/>
        </w:rPr>
        <w:t xml:space="preserve"> </w:t>
      </w:r>
      <w:r w:rsidR="00CF222A" w:rsidRPr="00314059">
        <w:t>(</w:t>
      </w:r>
      <w:r w:rsidR="003C6AAF" w:rsidRPr="00314059">
        <w:t>available from the</w:t>
      </w:r>
      <w:r w:rsidR="003C6AAF">
        <w:t xml:space="preserve"> CDT Development Manager</w:t>
      </w:r>
      <w:r w:rsidR="00CF222A">
        <w:t>)</w:t>
      </w:r>
      <w:r w:rsidR="003C6AAF">
        <w:t xml:space="preserve"> </w:t>
      </w:r>
      <w:r>
        <w:t xml:space="preserve">which must be endorsed by the Facility </w:t>
      </w:r>
      <w:r w:rsidR="00F92783">
        <w:t>Contact</w:t>
      </w:r>
      <w:r>
        <w:t xml:space="preserve"> and by their Supervisor</w:t>
      </w:r>
      <w:r w:rsidR="00056124">
        <w:t>. This must be s</w:t>
      </w:r>
      <w:r>
        <w:t>ubmi</w:t>
      </w:r>
      <w:r w:rsidR="00056124">
        <w:t>t</w:t>
      </w:r>
      <w:r>
        <w:t>t</w:t>
      </w:r>
      <w:r w:rsidR="00056124">
        <w:t>ed</w:t>
      </w:r>
      <w:r>
        <w:t xml:space="preserve"> to the CDT Development Manager</w:t>
      </w:r>
      <w:r w:rsidR="005C5A72">
        <w:t xml:space="preserve"> in order for funding to be approved</w:t>
      </w:r>
      <w:r w:rsidR="00BE1565">
        <w:t>.</w:t>
      </w:r>
    </w:p>
    <w:p w14:paraId="0B948216" w14:textId="272BF9BE" w:rsidR="00123CFD" w:rsidRPr="009256BA" w:rsidRDefault="00123CFD" w:rsidP="00123CFD">
      <w:pPr>
        <w:pStyle w:val="ListParagraph"/>
        <w:numPr>
          <w:ilvl w:val="0"/>
          <w:numId w:val="2"/>
        </w:numPr>
      </w:pPr>
      <w:r>
        <w:t>Some Royce Facilities may require some additional paperwork to be completed before work can be carried out, e.g. to comply with security clearance requirements or local health and safety requirements.</w:t>
      </w:r>
    </w:p>
    <w:p w14:paraId="1F5A2940" w14:textId="79473FC5" w:rsidR="009256BA" w:rsidRDefault="003C6AAF" w:rsidP="00056124">
      <w:pPr>
        <w:pStyle w:val="ListParagraph"/>
        <w:numPr>
          <w:ilvl w:val="0"/>
          <w:numId w:val="2"/>
        </w:numPr>
        <w:spacing w:after="0"/>
        <w:ind w:left="357" w:hanging="357"/>
      </w:pPr>
      <w:r>
        <w:t>Students and/or supervisors are welcome to contact the CDT Development Manager by email or telephone to discuss the need informally.</w:t>
      </w:r>
    </w:p>
    <w:p w14:paraId="3D667150" w14:textId="77777777" w:rsidR="00CD2ED8" w:rsidRDefault="00CD2ED8" w:rsidP="00CD2ED8"/>
    <w:p w14:paraId="6D83053E" w14:textId="1CA15508" w:rsidR="00CE186A" w:rsidRDefault="007810EC" w:rsidP="00CE186A">
      <w:pPr>
        <w:pStyle w:val="ListParagraph"/>
        <w:numPr>
          <w:ilvl w:val="0"/>
          <w:numId w:val="4"/>
        </w:numPr>
        <w:spacing w:after="0"/>
        <w:ind w:left="374" w:hanging="374"/>
        <w:rPr>
          <w:b/>
          <w:u w:val="single"/>
        </w:rPr>
      </w:pPr>
      <w:r w:rsidRPr="00CE186A">
        <w:rPr>
          <w:b/>
          <w:u w:val="single"/>
        </w:rPr>
        <w:t>Definitions</w:t>
      </w:r>
    </w:p>
    <w:p w14:paraId="7447C79B" w14:textId="77777777" w:rsidR="00CE186A" w:rsidRPr="00CE186A" w:rsidRDefault="00CE186A" w:rsidP="00CE186A">
      <w:pPr>
        <w:spacing w:after="0"/>
        <w:rPr>
          <w:b/>
          <w:u w:val="single"/>
        </w:rPr>
      </w:pPr>
    </w:p>
    <w:p w14:paraId="0D9518E7" w14:textId="164844C5" w:rsidR="00D66C9D" w:rsidRPr="00CE186A" w:rsidRDefault="00D66C9D" w:rsidP="00CE186A">
      <w:pPr>
        <w:spacing w:after="0"/>
        <w:rPr>
          <w:b/>
          <w:u w:val="single"/>
        </w:rPr>
      </w:pPr>
      <w:r w:rsidRPr="00CE186A">
        <w:rPr>
          <w:b/>
          <w:u w:val="single"/>
        </w:rPr>
        <w:t>Henry Royce Institute</w:t>
      </w:r>
    </w:p>
    <w:p w14:paraId="5236FD93" w14:textId="58415500" w:rsidR="00D66C9D" w:rsidRPr="00635B78" w:rsidRDefault="00635B78" w:rsidP="00BE27C5">
      <w:r>
        <w:t>The Henry Royce Institute (often referred to simply as “The Royce”) is the UK national centre for research and innovation of advanced materials. It</w:t>
      </w:r>
      <w:r w:rsidR="00D66C9D" w:rsidRPr="00635B78">
        <w:t xml:space="preserve"> aims to </w:t>
      </w:r>
      <w:r>
        <w:t>provide</w:t>
      </w:r>
      <w:r w:rsidR="00D66C9D" w:rsidRPr="00635B78">
        <w:t xml:space="preserve"> access to analytical equipment and scientific expertise in materials science across the whole of the UK. </w:t>
      </w:r>
    </w:p>
    <w:p w14:paraId="60944FD7" w14:textId="3024DE1B" w:rsidR="00EA3944" w:rsidRPr="00CD2ED8" w:rsidRDefault="00EA3944" w:rsidP="00CD2ED8">
      <w:pPr>
        <w:spacing w:after="0"/>
        <w:rPr>
          <w:b/>
          <w:u w:val="single"/>
        </w:rPr>
      </w:pPr>
      <w:r w:rsidRPr="00EA3944">
        <w:rPr>
          <w:b/>
          <w:u w:val="single"/>
        </w:rPr>
        <w:t>H</w:t>
      </w:r>
      <w:r>
        <w:rPr>
          <w:b/>
          <w:u w:val="single"/>
        </w:rPr>
        <w:t>enry</w:t>
      </w:r>
      <w:r w:rsidRPr="00EA3944">
        <w:rPr>
          <w:b/>
          <w:u w:val="single"/>
        </w:rPr>
        <w:t xml:space="preserve"> R</w:t>
      </w:r>
      <w:r>
        <w:rPr>
          <w:b/>
          <w:u w:val="single"/>
        </w:rPr>
        <w:t>oyce</w:t>
      </w:r>
      <w:r w:rsidR="00D66C9D">
        <w:rPr>
          <w:b/>
          <w:u w:val="single"/>
        </w:rPr>
        <w:t xml:space="preserve"> Institute</w:t>
      </w:r>
      <w:r>
        <w:rPr>
          <w:b/>
          <w:u w:val="single"/>
        </w:rPr>
        <w:t xml:space="preserve"> </w:t>
      </w:r>
      <w:r w:rsidR="00E45848">
        <w:rPr>
          <w:b/>
          <w:u w:val="single"/>
        </w:rPr>
        <w:t xml:space="preserve">PhD </w:t>
      </w:r>
      <w:r w:rsidRPr="00EA3944">
        <w:rPr>
          <w:b/>
          <w:u w:val="single"/>
        </w:rPr>
        <w:t>S</w:t>
      </w:r>
      <w:r>
        <w:rPr>
          <w:b/>
          <w:u w:val="single"/>
        </w:rPr>
        <w:t>tudent Access</w:t>
      </w:r>
      <w:r w:rsidRPr="00EA3944">
        <w:rPr>
          <w:b/>
          <w:u w:val="single"/>
        </w:rPr>
        <w:t xml:space="preserve"> S</w:t>
      </w:r>
      <w:r>
        <w:rPr>
          <w:b/>
          <w:u w:val="single"/>
        </w:rPr>
        <w:t>cheme</w:t>
      </w:r>
    </w:p>
    <w:p w14:paraId="329AE874" w14:textId="15154538" w:rsidR="00EA3944" w:rsidRPr="00EA3944" w:rsidRDefault="00EA3944" w:rsidP="00BE27C5">
      <w:r>
        <w:t xml:space="preserve">A scheme to support doctoral students by </w:t>
      </w:r>
      <w:r w:rsidR="00D66C9D">
        <w:t xml:space="preserve">enabling </w:t>
      </w:r>
      <w:r>
        <w:t>access to the equipment and expertise</w:t>
      </w:r>
      <w:r w:rsidR="00D66C9D">
        <w:t xml:space="preserve"> available in the Royce</w:t>
      </w:r>
      <w:r>
        <w:t xml:space="preserve">, where </w:t>
      </w:r>
      <w:r w:rsidR="00CF222A">
        <w:t>equivalent experti</w:t>
      </w:r>
      <w:r>
        <w:t>s</w:t>
      </w:r>
      <w:r w:rsidR="00CF222A">
        <w:t>e</w:t>
      </w:r>
      <w:r>
        <w:t xml:space="preserve"> not available through their own HEI.</w:t>
      </w:r>
    </w:p>
    <w:p w14:paraId="067BDD42" w14:textId="34C7D02F" w:rsidR="002E249C" w:rsidRDefault="002E249C" w:rsidP="00CD2ED8">
      <w:pPr>
        <w:spacing w:after="0"/>
        <w:rPr>
          <w:b/>
          <w:u w:val="single"/>
        </w:rPr>
      </w:pPr>
      <w:r>
        <w:rPr>
          <w:b/>
          <w:u w:val="single"/>
        </w:rPr>
        <w:t>Royce Hub</w:t>
      </w:r>
    </w:p>
    <w:p w14:paraId="0A20FF45" w14:textId="1F0BA97E" w:rsidR="002E249C" w:rsidRDefault="00635B78" w:rsidP="00BE27C5">
      <w:r>
        <w:lastRenderedPageBreak/>
        <w:t xml:space="preserve">The Royce operates a hub and spoke model. </w:t>
      </w:r>
      <w:r w:rsidR="002E249C">
        <w:t xml:space="preserve">The Hub is </w:t>
      </w:r>
      <w:r w:rsidR="00D66C9D">
        <w:t>the base of operations for the Royce and is located</w:t>
      </w:r>
      <w:r w:rsidR="002E249C">
        <w:t xml:space="preserve"> at The University of Manchester</w:t>
      </w:r>
      <w:r w:rsidR="00D66C9D">
        <w:t>.</w:t>
      </w:r>
      <w:r w:rsidR="00A7331B">
        <w:t xml:space="preserve"> The spokes are located at the founding partners, listed below.</w:t>
      </w:r>
    </w:p>
    <w:p w14:paraId="36BF6F7D" w14:textId="27B805FD" w:rsidR="002E249C" w:rsidRDefault="000B3389" w:rsidP="002E249C">
      <w:r>
        <w:t xml:space="preserve">The </w:t>
      </w:r>
      <w:r w:rsidR="00E45848" w:rsidRPr="00E45848">
        <w:t>PhD Student</w:t>
      </w:r>
      <w:r w:rsidRPr="00E45848">
        <w:t xml:space="preserve"> Access</w:t>
      </w:r>
      <w:r w:rsidR="002E249C" w:rsidRPr="00E45848">
        <w:t xml:space="preserve"> Scheme</w:t>
      </w:r>
      <w:r w:rsidR="002E249C">
        <w:t xml:space="preserve"> </w:t>
      </w:r>
      <w:r w:rsidR="002E249C" w:rsidRPr="002E249C">
        <w:t>is</w:t>
      </w:r>
      <w:r w:rsidR="002E249C">
        <w:t xml:space="preserve"> managed by the Royce CDT Development Manage</w:t>
      </w:r>
      <w:r w:rsidR="009256BA">
        <w:t>r who is based in the Royce Hub</w:t>
      </w:r>
      <w:r w:rsidR="00E45848">
        <w:t>.</w:t>
      </w:r>
    </w:p>
    <w:p w14:paraId="76C1AD34" w14:textId="16473491" w:rsidR="007810EC" w:rsidRDefault="007810EC" w:rsidP="00CD2ED8">
      <w:pPr>
        <w:spacing w:after="0"/>
        <w:rPr>
          <w:b/>
          <w:u w:val="single"/>
        </w:rPr>
      </w:pPr>
      <w:r>
        <w:rPr>
          <w:b/>
          <w:u w:val="single"/>
        </w:rPr>
        <w:t>Royce Partner</w:t>
      </w:r>
      <w:r w:rsidR="00A7331B">
        <w:rPr>
          <w:b/>
          <w:u w:val="single"/>
        </w:rPr>
        <w:t>s</w:t>
      </w:r>
    </w:p>
    <w:p w14:paraId="308D2225" w14:textId="4E2D0F39" w:rsidR="00D66C9D" w:rsidRDefault="007810EC" w:rsidP="00BE27C5">
      <w:pPr>
        <w:rPr>
          <w:b/>
          <w:u w:val="single"/>
        </w:rPr>
      </w:pPr>
      <w:r>
        <w:t xml:space="preserve">The </w:t>
      </w:r>
      <w:r w:rsidR="00E45848">
        <w:t>Universities</w:t>
      </w:r>
      <w:r>
        <w:t xml:space="preserve"> of Manchester</w:t>
      </w:r>
      <w:r w:rsidR="00E45848">
        <w:t xml:space="preserve">, </w:t>
      </w:r>
      <w:r>
        <w:t xml:space="preserve">Cambridge, Liverpool, Leeds, Oxford, Sheffield, </w:t>
      </w:r>
      <w:r w:rsidR="00B7533D">
        <w:t xml:space="preserve">and </w:t>
      </w:r>
      <w:r>
        <w:t>Imperial College London</w:t>
      </w:r>
      <w:r w:rsidR="005C7BD6">
        <w:t>, the National Nuclear Laboratory and UK Atomic Energy Authority (Culham Centre for Fusion Energy)</w:t>
      </w:r>
      <w:r>
        <w:t>.</w:t>
      </w:r>
    </w:p>
    <w:p w14:paraId="69F01926" w14:textId="06EE5EF0" w:rsidR="007810EC" w:rsidRDefault="007810EC" w:rsidP="00CD2ED8">
      <w:pPr>
        <w:spacing w:after="0"/>
        <w:rPr>
          <w:b/>
          <w:u w:val="single"/>
        </w:rPr>
      </w:pPr>
      <w:r w:rsidRPr="007810EC">
        <w:rPr>
          <w:b/>
          <w:u w:val="single"/>
        </w:rPr>
        <w:t>Royce Facilit</w:t>
      </w:r>
      <w:r w:rsidR="007C2A1A">
        <w:rPr>
          <w:b/>
          <w:u w:val="single"/>
        </w:rPr>
        <w:t>ies</w:t>
      </w:r>
      <w:r>
        <w:rPr>
          <w:b/>
          <w:u w:val="single"/>
        </w:rPr>
        <w:t xml:space="preserve"> and </w:t>
      </w:r>
      <w:r w:rsidR="00171F6E">
        <w:rPr>
          <w:b/>
          <w:u w:val="single"/>
        </w:rPr>
        <w:t xml:space="preserve">Facility </w:t>
      </w:r>
      <w:r>
        <w:rPr>
          <w:b/>
          <w:u w:val="single"/>
        </w:rPr>
        <w:t>Contact</w:t>
      </w:r>
      <w:r w:rsidR="00E45848">
        <w:rPr>
          <w:b/>
          <w:u w:val="single"/>
        </w:rPr>
        <w:t>s</w:t>
      </w:r>
    </w:p>
    <w:p w14:paraId="273E0C1E" w14:textId="1263A5E8" w:rsidR="00123CFD" w:rsidRDefault="00D66C9D" w:rsidP="00BE27C5">
      <w:r>
        <w:t>Facilities at the Royce are open to all UK academics regardless of institution.  All Partners have technical and advisory staff prov</w:t>
      </w:r>
      <w:r w:rsidR="009C74BD">
        <w:t>i</w:t>
      </w:r>
      <w:r>
        <w:t>ding a single point of entry to facilities across the Royce.</w:t>
      </w:r>
      <w:r w:rsidR="007810EC">
        <w:t xml:space="preserve"> </w:t>
      </w:r>
      <w:r w:rsidR="00E45848">
        <w:t>The Royce Hub will signpost enquiries to the appropriate Facility Contact.</w:t>
      </w:r>
    </w:p>
    <w:p w14:paraId="61876728" w14:textId="2BF16BDD" w:rsidR="007810EC" w:rsidRDefault="007810EC" w:rsidP="00CD2ED8">
      <w:pPr>
        <w:spacing w:after="0"/>
        <w:rPr>
          <w:b/>
          <w:u w:val="single"/>
        </w:rPr>
      </w:pPr>
      <w:r w:rsidRPr="007810EC">
        <w:rPr>
          <w:b/>
          <w:u w:val="single"/>
        </w:rPr>
        <w:t>Royce Equipment</w:t>
      </w:r>
      <w:r w:rsidR="00BE1565">
        <w:rPr>
          <w:b/>
          <w:u w:val="single"/>
        </w:rPr>
        <w:t xml:space="preserve"> </w:t>
      </w:r>
      <w:r w:rsidR="00BE1565" w:rsidRPr="00E45848">
        <w:rPr>
          <w:b/>
          <w:u w:val="single"/>
        </w:rPr>
        <w:t>or Service</w:t>
      </w:r>
    </w:p>
    <w:p w14:paraId="0FC0A726" w14:textId="7DA2EB8B" w:rsidR="007810EC" w:rsidRDefault="007810EC" w:rsidP="00BE27C5">
      <w:r>
        <w:t xml:space="preserve">Specific items of equipment </w:t>
      </w:r>
      <w:r w:rsidR="00BE1565">
        <w:t xml:space="preserve">or services </w:t>
      </w:r>
      <w:r>
        <w:t xml:space="preserve">as listed on the </w:t>
      </w:r>
      <w:hyperlink r:id="rId12" w:history="1">
        <w:r w:rsidRPr="000B3389">
          <w:rPr>
            <w:rStyle w:val="Hyperlink"/>
          </w:rPr>
          <w:t>Royce website</w:t>
        </w:r>
      </w:hyperlink>
      <w:r>
        <w:t xml:space="preserve">. </w:t>
      </w:r>
    </w:p>
    <w:p w14:paraId="0900A829" w14:textId="32C6BD44" w:rsidR="00EA3944" w:rsidRDefault="00EA3944" w:rsidP="00CD2ED8">
      <w:pPr>
        <w:spacing w:after="0"/>
        <w:rPr>
          <w:b/>
          <w:u w:val="single"/>
        </w:rPr>
      </w:pPr>
      <w:r w:rsidRPr="00EA3944">
        <w:rPr>
          <w:b/>
          <w:u w:val="single"/>
        </w:rPr>
        <w:t>Initial Enquiry Form</w:t>
      </w:r>
    </w:p>
    <w:p w14:paraId="6D78B6AF" w14:textId="5AB16681" w:rsidR="0077629A" w:rsidRDefault="003B665B" w:rsidP="00DD255F">
      <w:pPr>
        <w:jc w:val="both"/>
      </w:pPr>
      <w:r>
        <w:t xml:space="preserve">The starting point for an enquiry, to be completed by the student </w:t>
      </w:r>
      <w:r w:rsidR="00A0209C">
        <w:t xml:space="preserve">before </w:t>
      </w:r>
      <w:r>
        <w:t>submi</w:t>
      </w:r>
      <w:r w:rsidR="00A0209C">
        <w:t xml:space="preserve">ssion </w:t>
      </w:r>
      <w:r>
        <w:t>to the CDT Development Manager.</w:t>
      </w:r>
      <w:r w:rsidR="003C6AAF">
        <w:t xml:space="preserve"> It can be found at</w:t>
      </w:r>
      <w:r w:rsidR="002D7235">
        <w:rPr>
          <w:rStyle w:val="Hyperlink"/>
        </w:rPr>
        <w:t xml:space="preserve"> </w:t>
      </w:r>
      <w:hyperlink r:id="rId13" w:history="1">
        <w:r w:rsidR="002D7235" w:rsidRPr="00575F6E">
          <w:rPr>
            <w:rStyle w:val="Hyperlink"/>
          </w:rPr>
          <w:t>https://www.royce.ac.uk/phdaccess</w:t>
        </w:r>
      </w:hyperlink>
      <w:r w:rsidR="002D7235">
        <w:rPr>
          <w:rStyle w:val="Hyperlink"/>
        </w:rPr>
        <w:t xml:space="preserve"> </w:t>
      </w:r>
      <w:r w:rsidR="003C6AAF">
        <w:t>.</w:t>
      </w:r>
    </w:p>
    <w:p w14:paraId="6B2D5F13" w14:textId="2113BF22" w:rsidR="00B86F08" w:rsidRDefault="00B86F08" w:rsidP="000320A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Application for Funding Form</w:t>
      </w:r>
    </w:p>
    <w:p w14:paraId="0D9843BC" w14:textId="3F27D951" w:rsidR="00B86F08" w:rsidRPr="000320A0" w:rsidRDefault="00B86F08" w:rsidP="000320A0">
      <w:pPr>
        <w:jc w:val="both"/>
      </w:pPr>
      <w:r w:rsidRPr="000320A0">
        <w:t xml:space="preserve">This form is </w:t>
      </w:r>
      <w:r w:rsidR="000320A0">
        <w:t xml:space="preserve">available from the CDT Development Manager. It is </w:t>
      </w:r>
      <w:r w:rsidRPr="000320A0">
        <w:t>completed by the student enquirer</w:t>
      </w:r>
      <w:r w:rsidR="00126501" w:rsidRPr="000320A0">
        <w:t xml:space="preserve">, </w:t>
      </w:r>
      <w:r w:rsidRPr="000320A0">
        <w:t>endorsed by their supervisor and the Royce Facility Contact</w:t>
      </w:r>
      <w:r w:rsidR="00126501" w:rsidRPr="000320A0">
        <w:t>, and then submitted to the Royce CDT Development Manager</w:t>
      </w:r>
      <w:r w:rsidR="000320A0" w:rsidRPr="000320A0">
        <w:t xml:space="preserve">, </w:t>
      </w:r>
      <w:r w:rsidR="009838D9">
        <w:t>for approval of funding decision</w:t>
      </w:r>
      <w:r w:rsidR="00126501" w:rsidRPr="000320A0">
        <w:t xml:space="preserve">. It captures the research question being addressed and describes the proposed package of work </w:t>
      </w:r>
      <w:r w:rsidR="00733DE6">
        <w:t xml:space="preserve">and (if appropriate) training </w:t>
      </w:r>
      <w:r w:rsidR="00126501" w:rsidRPr="000320A0">
        <w:t xml:space="preserve">that has been agreed in principle with the Royce Facility, as well as the costs and proposed scheduling. </w:t>
      </w:r>
    </w:p>
    <w:p w14:paraId="09C67F9B" w14:textId="1F1A1FEC" w:rsidR="004C4690" w:rsidRDefault="00DD255F" w:rsidP="00733DE6">
      <w:pPr>
        <w:pStyle w:val="ListParagraph"/>
        <w:numPr>
          <w:ilvl w:val="0"/>
          <w:numId w:val="4"/>
        </w:numPr>
        <w:spacing w:after="0"/>
        <w:jc w:val="both"/>
      </w:pPr>
      <w:r w:rsidRPr="00733DE6">
        <w:rPr>
          <w:b/>
          <w:u w:val="single"/>
        </w:rPr>
        <w:t>GDPR</w:t>
      </w:r>
    </w:p>
    <w:p w14:paraId="534B6C0B" w14:textId="14CCF8F9" w:rsidR="00DD255F" w:rsidRDefault="00DD255F" w:rsidP="00DD255F">
      <w:pPr>
        <w:jc w:val="both"/>
      </w:pPr>
      <w:r w:rsidRPr="003C6AAF">
        <w:t xml:space="preserve">In </w:t>
      </w:r>
      <w:r w:rsidR="005C5A72" w:rsidRPr="003C6AAF">
        <w:t>taking part in the PhD Student Access Scheme</w:t>
      </w:r>
      <w:r w:rsidRPr="003C6AAF">
        <w:t xml:space="preserve">, </w:t>
      </w:r>
      <w:r w:rsidR="005C5A72" w:rsidRPr="003C6AAF">
        <w:t>both</w:t>
      </w:r>
      <w:r w:rsidRPr="003C6AAF">
        <w:t xml:space="preserve"> student and supervisor consent to the collection and use of their personal data by The </w:t>
      </w:r>
      <w:r w:rsidR="00171F6E" w:rsidRPr="003C6AAF">
        <w:t>Henry Royce Institute</w:t>
      </w:r>
      <w:r w:rsidR="005C5A72" w:rsidRPr="003C6AAF">
        <w:t xml:space="preserve"> </w:t>
      </w:r>
      <w:r w:rsidRPr="003C6AAF">
        <w:t>for the purposes of</w:t>
      </w:r>
      <w:r w:rsidR="00171F6E" w:rsidRPr="003C6AAF">
        <w:t xml:space="preserve"> allowing access to Royce facilities and expertise</w:t>
      </w:r>
      <w:r w:rsidRPr="003C6AAF">
        <w:t>. The information may also be used for statistical purposes as required by our funding organisations. Where personal data of an additional party (</w:t>
      </w:r>
      <w:r w:rsidR="00171F6E" w:rsidRPr="003C6AAF">
        <w:t>e.g. S</w:t>
      </w:r>
      <w:r w:rsidRPr="003C6AAF">
        <w:t xml:space="preserve">econdary Investigators) has been added to this proposal form, the </w:t>
      </w:r>
      <w:r w:rsidR="00171F6E" w:rsidRPr="003C6AAF">
        <w:t>student and supervisor</w:t>
      </w:r>
      <w:r w:rsidRPr="003C6AAF">
        <w:t xml:space="preserve"> also confirm that they have sought consent from each additional party for their data to be collected and used by The </w:t>
      </w:r>
      <w:r w:rsidR="00171F6E" w:rsidRPr="003C6AAF">
        <w:t>Henry Royce Institute</w:t>
      </w:r>
      <w:r w:rsidRPr="003C6AAF">
        <w:t xml:space="preserve"> for the purposes set out above. </w:t>
      </w:r>
    </w:p>
    <w:p w14:paraId="1678139E" w14:textId="17955FDB" w:rsidR="007C0E77" w:rsidRDefault="007C0E77" w:rsidP="00DD255F">
      <w:pPr>
        <w:jc w:val="both"/>
      </w:pPr>
    </w:p>
    <w:p w14:paraId="588B04A9" w14:textId="1043DB8E" w:rsidR="007C0E77" w:rsidRPr="009F3CD1" w:rsidRDefault="007C0E77" w:rsidP="007C0E77">
      <w:pPr>
        <w:spacing w:after="0"/>
        <w:jc w:val="both"/>
        <w:rPr>
          <w:b/>
        </w:rPr>
      </w:pPr>
      <w:r w:rsidRPr="009F3CD1">
        <w:rPr>
          <w:b/>
        </w:rPr>
        <w:t>Dr David Stanley</w:t>
      </w:r>
    </w:p>
    <w:p w14:paraId="164A8E7C" w14:textId="62967ACF" w:rsidR="007C0E77" w:rsidRDefault="007C0E77" w:rsidP="007C0E77">
      <w:pPr>
        <w:spacing w:after="0"/>
        <w:jc w:val="both"/>
      </w:pPr>
      <w:r>
        <w:t>CDT Development Manager</w:t>
      </w:r>
    </w:p>
    <w:p w14:paraId="41F2548E" w14:textId="6ACD7E21" w:rsidR="007C0E77" w:rsidRDefault="007C0E77" w:rsidP="007C0E77">
      <w:pPr>
        <w:spacing w:after="0"/>
        <w:jc w:val="both"/>
      </w:pPr>
      <w:r>
        <w:t>Henry Royce Institute</w:t>
      </w:r>
    </w:p>
    <w:p w14:paraId="686CAB13" w14:textId="6D0AE178" w:rsidR="007C0E77" w:rsidRDefault="007C0E77" w:rsidP="007C0E77">
      <w:pPr>
        <w:spacing w:after="0"/>
        <w:jc w:val="both"/>
      </w:pPr>
      <w:r>
        <w:t xml:space="preserve">E: </w:t>
      </w:r>
      <w:hyperlink r:id="rId14" w:history="1">
        <w:r w:rsidRPr="00BA262F">
          <w:rPr>
            <w:rStyle w:val="Hyperlink"/>
          </w:rPr>
          <w:t>david.stanley@royce.ac.uk</w:t>
        </w:r>
      </w:hyperlink>
    </w:p>
    <w:p w14:paraId="005D38D5" w14:textId="71FC599A" w:rsidR="007C0E77" w:rsidRDefault="007C0E77" w:rsidP="007C0E77">
      <w:pPr>
        <w:spacing w:after="0"/>
        <w:jc w:val="both"/>
      </w:pPr>
      <w:r>
        <w:t>T: 0161 306 4161</w:t>
      </w:r>
    </w:p>
    <w:p w14:paraId="79065DFB" w14:textId="3AC11CFC" w:rsidR="009F3CD1" w:rsidRDefault="009F3CD1" w:rsidP="007C0E77">
      <w:pPr>
        <w:spacing w:after="0"/>
        <w:jc w:val="both"/>
      </w:pPr>
      <w:r>
        <w:t xml:space="preserve">W: </w:t>
      </w:r>
      <w:hyperlink r:id="rId15" w:history="1">
        <w:r w:rsidRPr="00575F6E">
          <w:rPr>
            <w:rStyle w:val="Hyperlink"/>
          </w:rPr>
          <w:t>www.Royce.ac.uk</w:t>
        </w:r>
      </w:hyperlink>
    </w:p>
    <w:p w14:paraId="16E61EA4" w14:textId="77777777" w:rsidR="009F3CD1" w:rsidRDefault="009F3CD1" w:rsidP="007C0E77">
      <w:pPr>
        <w:spacing w:after="0"/>
        <w:jc w:val="both"/>
      </w:pPr>
    </w:p>
    <w:p w14:paraId="035AAE00" w14:textId="48D1F7C9" w:rsidR="00BB5303" w:rsidRDefault="00BB5303" w:rsidP="007C0E77">
      <w:pPr>
        <w:spacing w:after="0"/>
        <w:jc w:val="both"/>
      </w:pPr>
    </w:p>
    <w:p w14:paraId="3A1BC64B" w14:textId="111A4420" w:rsidR="00BB5303" w:rsidRPr="009F3CD1" w:rsidRDefault="00BB5303" w:rsidP="007C0E77">
      <w:pPr>
        <w:spacing w:after="0"/>
        <w:jc w:val="both"/>
        <w:rPr>
          <w:b/>
        </w:rPr>
      </w:pPr>
      <w:r w:rsidRPr="009F3CD1">
        <w:rPr>
          <w:b/>
        </w:rPr>
        <w:t>July 2019</w:t>
      </w:r>
    </w:p>
    <w:sectPr w:rsidR="00BB5303" w:rsidRPr="009F3CD1" w:rsidSect="00245CC7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5115E" w14:textId="77777777" w:rsidR="00214410" w:rsidRDefault="00214410" w:rsidP="00245CC7">
      <w:pPr>
        <w:spacing w:after="0" w:line="240" w:lineRule="auto"/>
      </w:pPr>
      <w:r>
        <w:separator/>
      </w:r>
    </w:p>
  </w:endnote>
  <w:endnote w:type="continuationSeparator" w:id="0">
    <w:p w14:paraId="10317468" w14:textId="77777777" w:rsidR="00214410" w:rsidRDefault="00214410" w:rsidP="0024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6745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1BF1AB" w14:textId="67C20D77" w:rsidR="00BB5303" w:rsidRDefault="00BB53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8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2F0E4F" w14:textId="7B6BF414" w:rsidR="00BB5303" w:rsidRPr="00BB5303" w:rsidRDefault="00BB5303">
    <w:pPr>
      <w:pStyle w:val="Footer"/>
      <w:rPr>
        <w:color w:val="A6A6A6" w:themeColor="background1" w:themeShade="A6"/>
      </w:rPr>
    </w:pPr>
    <w:r w:rsidRPr="00BB5303">
      <w:rPr>
        <w:color w:val="A6A6A6" w:themeColor="background1" w:themeShade="A6"/>
      </w:rPr>
      <w:fldChar w:fldCharType="begin"/>
    </w:r>
    <w:r w:rsidRPr="00BB5303">
      <w:rPr>
        <w:color w:val="A6A6A6" w:themeColor="background1" w:themeShade="A6"/>
      </w:rPr>
      <w:instrText xml:space="preserve"> FILENAME   \* MERGEFORMAT </w:instrText>
    </w:r>
    <w:r w:rsidRPr="00BB5303">
      <w:rPr>
        <w:color w:val="A6A6A6" w:themeColor="background1" w:themeShade="A6"/>
      </w:rPr>
      <w:fldChar w:fldCharType="separate"/>
    </w:r>
    <w:r w:rsidR="0002487C">
      <w:rPr>
        <w:noProof/>
        <w:color w:val="A6A6A6" w:themeColor="background1" w:themeShade="A6"/>
      </w:rPr>
      <w:t>PhD Access Scheme - Guidance Notes for Applicants v3.1</w:t>
    </w:r>
    <w:r w:rsidRPr="00BB5303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81C73" w14:textId="77777777" w:rsidR="00214410" w:rsidRDefault="00214410" w:rsidP="00245CC7">
      <w:pPr>
        <w:spacing w:after="0" w:line="240" w:lineRule="auto"/>
      </w:pPr>
      <w:r>
        <w:separator/>
      </w:r>
    </w:p>
  </w:footnote>
  <w:footnote w:type="continuationSeparator" w:id="0">
    <w:p w14:paraId="5C0731CC" w14:textId="77777777" w:rsidR="00214410" w:rsidRDefault="00214410" w:rsidP="0024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491"/>
    <w:multiLevelType w:val="hybridMultilevel"/>
    <w:tmpl w:val="5C825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6988"/>
    <w:multiLevelType w:val="multilevel"/>
    <w:tmpl w:val="D916B13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AF41A50"/>
    <w:multiLevelType w:val="multilevel"/>
    <w:tmpl w:val="D916B13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60D40F2"/>
    <w:multiLevelType w:val="hybridMultilevel"/>
    <w:tmpl w:val="79900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006D"/>
    <w:multiLevelType w:val="hybridMultilevel"/>
    <w:tmpl w:val="7B666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96976"/>
    <w:multiLevelType w:val="hybridMultilevel"/>
    <w:tmpl w:val="3F38B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6580"/>
    <w:multiLevelType w:val="hybridMultilevel"/>
    <w:tmpl w:val="50DA11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E3360"/>
    <w:multiLevelType w:val="hybridMultilevel"/>
    <w:tmpl w:val="F29A8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EC192D"/>
    <w:multiLevelType w:val="hybridMultilevel"/>
    <w:tmpl w:val="34D09C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74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C7"/>
    <w:rsid w:val="00021319"/>
    <w:rsid w:val="0002487C"/>
    <w:rsid w:val="000320A0"/>
    <w:rsid w:val="00052D4F"/>
    <w:rsid w:val="000538D5"/>
    <w:rsid w:val="00056124"/>
    <w:rsid w:val="00071856"/>
    <w:rsid w:val="000A1A82"/>
    <w:rsid w:val="000B3389"/>
    <w:rsid w:val="000D5FC4"/>
    <w:rsid w:val="000E5C51"/>
    <w:rsid w:val="00122A82"/>
    <w:rsid w:val="00123CFD"/>
    <w:rsid w:val="00126501"/>
    <w:rsid w:val="00171486"/>
    <w:rsid w:val="00171F6E"/>
    <w:rsid w:val="001B7313"/>
    <w:rsid w:val="00214410"/>
    <w:rsid w:val="00245CC7"/>
    <w:rsid w:val="0027185A"/>
    <w:rsid w:val="00290DCC"/>
    <w:rsid w:val="002A7198"/>
    <w:rsid w:val="002D7235"/>
    <w:rsid w:val="002E249C"/>
    <w:rsid w:val="00314059"/>
    <w:rsid w:val="00357934"/>
    <w:rsid w:val="00377DDC"/>
    <w:rsid w:val="003B4221"/>
    <w:rsid w:val="003B665B"/>
    <w:rsid w:val="003C6128"/>
    <w:rsid w:val="003C6AAF"/>
    <w:rsid w:val="003F60AC"/>
    <w:rsid w:val="00437D7E"/>
    <w:rsid w:val="00496058"/>
    <w:rsid w:val="00496F1A"/>
    <w:rsid w:val="0049786A"/>
    <w:rsid w:val="004C4690"/>
    <w:rsid w:val="00522B77"/>
    <w:rsid w:val="005232ED"/>
    <w:rsid w:val="00532770"/>
    <w:rsid w:val="005376E5"/>
    <w:rsid w:val="00561A05"/>
    <w:rsid w:val="0058542D"/>
    <w:rsid w:val="005962CA"/>
    <w:rsid w:val="005A0781"/>
    <w:rsid w:val="005A7CB1"/>
    <w:rsid w:val="005C5A72"/>
    <w:rsid w:val="005C7BD6"/>
    <w:rsid w:val="00607659"/>
    <w:rsid w:val="00635B78"/>
    <w:rsid w:val="00642F79"/>
    <w:rsid w:val="00650116"/>
    <w:rsid w:val="006735DB"/>
    <w:rsid w:val="006E7557"/>
    <w:rsid w:val="00724CCF"/>
    <w:rsid w:val="00733DE6"/>
    <w:rsid w:val="0077629A"/>
    <w:rsid w:val="007810EC"/>
    <w:rsid w:val="007859EB"/>
    <w:rsid w:val="007A624B"/>
    <w:rsid w:val="007C0E77"/>
    <w:rsid w:val="007C2A1A"/>
    <w:rsid w:val="00806311"/>
    <w:rsid w:val="0085604C"/>
    <w:rsid w:val="008A17CE"/>
    <w:rsid w:val="009256BA"/>
    <w:rsid w:val="00933794"/>
    <w:rsid w:val="00950A82"/>
    <w:rsid w:val="009715B5"/>
    <w:rsid w:val="009838D9"/>
    <w:rsid w:val="009A400A"/>
    <w:rsid w:val="009C74BD"/>
    <w:rsid w:val="009E3ADC"/>
    <w:rsid w:val="009F3CD1"/>
    <w:rsid w:val="00A0209C"/>
    <w:rsid w:val="00A07742"/>
    <w:rsid w:val="00A208C5"/>
    <w:rsid w:val="00A7331B"/>
    <w:rsid w:val="00AA29BB"/>
    <w:rsid w:val="00AB4235"/>
    <w:rsid w:val="00AF1582"/>
    <w:rsid w:val="00AF1B21"/>
    <w:rsid w:val="00AF79B1"/>
    <w:rsid w:val="00B47B16"/>
    <w:rsid w:val="00B7533D"/>
    <w:rsid w:val="00B86F08"/>
    <w:rsid w:val="00BA76F8"/>
    <w:rsid w:val="00BA7930"/>
    <w:rsid w:val="00BB5303"/>
    <w:rsid w:val="00BC144B"/>
    <w:rsid w:val="00BD66DD"/>
    <w:rsid w:val="00BE1565"/>
    <w:rsid w:val="00BE27C5"/>
    <w:rsid w:val="00C1355A"/>
    <w:rsid w:val="00C35804"/>
    <w:rsid w:val="00C42C8C"/>
    <w:rsid w:val="00CA31EA"/>
    <w:rsid w:val="00CB28EB"/>
    <w:rsid w:val="00CB544E"/>
    <w:rsid w:val="00CD2ED8"/>
    <w:rsid w:val="00CE186A"/>
    <w:rsid w:val="00CF222A"/>
    <w:rsid w:val="00D66C9D"/>
    <w:rsid w:val="00D71ED8"/>
    <w:rsid w:val="00D766C2"/>
    <w:rsid w:val="00DC4009"/>
    <w:rsid w:val="00DD255F"/>
    <w:rsid w:val="00DD62ED"/>
    <w:rsid w:val="00DF4CE3"/>
    <w:rsid w:val="00E45848"/>
    <w:rsid w:val="00E54287"/>
    <w:rsid w:val="00E55315"/>
    <w:rsid w:val="00EA3944"/>
    <w:rsid w:val="00EA529F"/>
    <w:rsid w:val="00ED2406"/>
    <w:rsid w:val="00F74403"/>
    <w:rsid w:val="00F92783"/>
    <w:rsid w:val="00FB0428"/>
    <w:rsid w:val="00FB7D1F"/>
    <w:rsid w:val="00F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E393D0"/>
  <w15:docId w15:val="{97148D5C-58A8-4060-8BAC-B4D5A44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C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C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C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7"/>
  </w:style>
  <w:style w:type="paragraph" w:styleId="Footer">
    <w:name w:val="footer"/>
    <w:basedOn w:val="Normal"/>
    <w:link w:val="FooterChar"/>
    <w:uiPriority w:val="99"/>
    <w:unhideWhenUsed/>
    <w:rsid w:val="0024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7"/>
  </w:style>
  <w:style w:type="table" w:styleId="TableGrid">
    <w:name w:val="Table Grid"/>
    <w:basedOn w:val="TableNormal"/>
    <w:uiPriority w:val="39"/>
    <w:rsid w:val="000A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4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D7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5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oyce.ac.uk/phdacces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yce.ac.uk/equipment-and-faciliti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yce.ac.uk/phdacc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yce.ac.uk" TargetMode="External"/><Relationship Id="rId10" Type="http://schemas.openxmlformats.org/officeDocument/2006/relationships/hyperlink" Target="https://www.royce.ac.uk/equipment-and-facil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yce.ac.uk/research-areas/" TargetMode="External"/><Relationship Id="rId14" Type="http://schemas.openxmlformats.org/officeDocument/2006/relationships/hyperlink" Target="mailto:david.stanley@royc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1A69A-DB05-4804-A86A-480C24EC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1310</Words>
  <Characters>7471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Stanley</dc:creator>
  <cp:lastModifiedBy>Matthew Davis</cp:lastModifiedBy>
  <cp:revision>2</cp:revision>
  <cp:lastPrinted>2019-07-18T08:25:00Z</cp:lastPrinted>
  <dcterms:created xsi:type="dcterms:W3CDTF">2019-09-16T11:20:00Z</dcterms:created>
  <dcterms:modified xsi:type="dcterms:W3CDTF">2019-09-16T11:20:00Z</dcterms:modified>
</cp:coreProperties>
</file>